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8D" w:rsidRPr="00862F8D" w:rsidRDefault="00862F8D" w:rsidP="00862F8D">
      <w:pPr>
        <w:pStyle w:val="Default"/>
        <w:spacing w:line="360" w:lineRule="auto"/>
        <w:rPr>
          <w:rFonts w:ascii="Times New Roman" w:hAnsi="Times New Roman" w:cs="Times New Roman"/>
          <w:lang w:val="en-US"/>
        </w:rPr>
      </w:pPr>
      <w:r w:rsidRPr="00862F8D">
        <w:rPr>
          <w:rFonts w:ascii="Times New Roman" w:hAnsi="Times New Roman" w:cs="Times New Roman"/>
          <w:b/>
          <w:bCs/>
          <w:lang w:val="en-US"/>
        </w:rPr>
        <w:t xml:space="preserve">Fractionation </w:t>
      </w:r>
    </w:p>
    <w:p w:rsidR="00862F8D" w:rsidRPr="00862F8D" w:rsidRDefault="00862F8D" w:rsidP="00862F8D">
      <w:pPr>
        <w:spacing w:after="0" w:line="360" w:lineRule="auto"/>
        <w:jc w:val="both"/>
        <w:rPr>
          <w:rFonts w:ascii="Times New Roman" w:hAnsi="Times New Roman" w:cs="Times New Roman"/>
          <w:sz w:val="24"/>
          <w:szCs w:val="24"/>
          <w:lang w:val="en-US"/>
        </w:rPr>
      </w:pPr>
      <w:r w:rsidRPr="00862F8D">
        <w:rPr>
          <w:rFonts w:ascii="Times New Roman" w:hAnsi="Times New Roman" w:cs="Times New Roman"/>
          <w:sz w:val="24"/>
          <w:szCs w:val="24"/>
          <w:lang w:val="en-US"/>
        </w:rPr>
        <w:t>Fractionation was carried out using a laboratory-scale SC-CO</w:t>
      </w:r>
      <w:r w:rsidRPr="00862F8D">
        <w:rPr>
          <w:rFonts w:ascii="Times New Roman" w:hAnsi="Times New Roman" w:cs="Times New Roman"/>
          <w:sz w:val="24"/>
          <w:szCs w:val="24"/>
          <w:vertAlign w:val="subscript"/>
          <w:lang w:val="en-US"/>
        </w:rPr>
        <w:t>2</w:t>
      </w:r>
      <w:r w:rsidRPr="00862F8D">
        <w:rPr>
          <w:rFonts w:ascii="Times New Roman" w:hAnsi="Times New Roman" w:cs="Times New Roman"/>
          <w:sz w:val="24"/>
          <w:szCs w:val="24"/>
          <w:lang w:val="en-US"/>
        </w:rPr>
        <w:t xml:space="preserve"> system (Thar Model SFE-500F-2, Thar Technologies Inc., Pittsburgh, PA, USA) that consisted of a high pressure CO</w:t>
      </w:r>
      <w:r w:rsidRPr="00862F8D">
        <w:rPr>
          <w:rFonts w:ascii="Times New Roman" w:hAnsi="Times New Roman" w:cs="Times New Roman"/>
          <w:sz w:val="24"/>
          <w:szCs w:val="24"/>
          <w:vertAlign w:val="subscript"/>
          <w:lang w:val="en-US"/>
        </w:rPr>
        <w:t>2</w:t>
      </w:r>
      <w:r w:rsidRPr="00862F8D">
        <w:rPr>
          <w:rFonts w:ascii="Times New Roman" w:hAnsi="Times New Roman" w:cs="Times New Roman"/>
          <w:sz w:val="24"/>
          <w:szCs w:val="24"/>
          <w:lang w:val="en-US"/>
        </w:rPr>
        <w:t xml:space="preserve"> pump, heat exchanger, automatic back pressure regulator, three 500 cm</w:t>
      </w:r>
      <w:r w:rsidRPr="00862F8D">
        <w:rPr>
          <w:rFonts w:ascii="Times New Roman" w:hAnsi="Times New Roman" w:cs="Times New Roman"/>
          <w:sz w:val="24"/>
          <w:szCs w:val="24"/>
          <w:vertAlign w:val="superscript"/>
          <w:lang w:val="en-US"/>
        </w:rPr>
        <w:t>3</w:t>
      </w:r>
      <w:r w:rsidRPr="00862F8D">
        <w:rPr>
          <w:rFonts w:ascii="Times New Roman" w:hAnsi="Times New Roman" w:cs="Times New Roman"/>
          <w:sz w:val="24"/>
          <w:szCs w:val="24"/>
          <w:lang w:val="en-US"/>
        </w:rPr>
        <w:t xml:space="preserve"> stainless-steel vessels (raffinate, first and second fractionation columns) and a </w:t>
      </w:r>
      <w:proofErr w:type="spellStart"/>
      <w:r w:rsidRPr="00862F8D">
        <w:rPr>
          <w:rFonts w:ascii="Times New Roman" w:hAnsi="Times New Roman" w:cs="Times New Roman"/>
          <w:sz w:val="24"/>
          <w:szCs w:val="24"/>
          <w:lang w:val="en-US"/>
        </w:rPr>
        <w:t>thermostated</w:t>
      </w:r>
      <w:proofErr w:type="spellEnd"/>
      <w:r w:rsidRPr="00862F8D">
        <w:rPr>
          <w:rFonts w:ascii="Times New Roman" w:hAnsi="Times New Roman" w:cs="Times New Roman"/>
          <w:sz w:val="24"/>
          <w:szCs w:val="24"/>
          <w:lang w:val="en-US"/>
        </w:rPr>
        <w:t xml:space="preserve"> circulating bath (</w:t>
      </w:r>
      <w:proofErr w:type="spellStart"/>
      <w:r w:rsidRPr="00862F8D">
        <w:rPr>
          <w:rFonts w:ascii="Times New Roman" w:hAnsi="Times New Roman" w:cs="Times New Roman"/>
          <w:sz w:val="24"/>
          <w:szCs w:val="24"/>
          <w:lang w:val="en-US"/>
        </w:rPr>
        <w:t>Thermo</w:t>
      </w:r>
      <w:proofErr w:type="spellEnd"/>
      <w:r w:rsidRPr="00862F8D">
        <w:rPr>
          <w:rFonts w:ascii="Times New Roman" w:hAnsi="Times New Roman" w:cs="Times New Roman"/>
          <w:sz w:val="24"/>
          <w:szCs w:val="24"/>
          <w:lang w:val="en-US"/>
        </w:rPr>
        <w:t xml:space="preserve"> Scientific K10 model, Karlsruhe, Germany). Approximately 100 g of melted milkfat was placed into the raffinate vessel for each process. The fractionation schemes performed in this study are presented below. Three sequential processes were followed for the fractions using same milk fat.</w:t>
      </w:r>
    </w:p>
    <w:tbl>
      <w:tblPr>
        <w:tblW w:w="0" w:type="auto"/>
        <w:tblBorders>
          <w:top w:val="nil"/>
          <w:left w:val="nil"/>
          <w:bottom w:val="nil"/>
          <w:right w:val="nil"/>
        </w:tblBorders>
        <w:tblLayout w:type="fixed"/>
        <w:tblLook w:val="0000" w:firstRow="0" w:lastRow="0" w:firstColumn="0" w:lastColumn="0" w:noHBand="0" w:noVBand="0"/>
      </w:tblPr>
      <w:tblGrid>
        <w:gridCol w:w="1979"/>
        <w:gridCol w:w="1979"/>
        <w:gridCol w:w="1979"/>
        <w:gridCol w:w="3102"/>
      </w:tblGrid>
      <w:tr w:rsidR="00862F8D" w:rsidRPr="00862F8D" w:rsidTr="00862F8D">
        <w:trPr>
          <w:trHeight w:val="112"/>
        </w:trPr>
        <w:tc>
          <w:tcPr>
            <w:tcW w:w="1979" w:type="dxa"/>
          </w:tcPr>
          <w:p w:rsidR="00862F8D" w:rsidRPr="00862F8D" w:rsidRDefault="00862F8D" w:rsidP="00862F8D">
            <w:pPr>
              <w:autoSpaceDE w:val="0"/>
              <w:autoSpaceDN w:val="0"/>
              <w:adjustRightInd w:val="0"/>
              <w:spacing w:after="0" w:line="240" w:lineRule="auto"/>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 xml:space="preserve">Process </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Pressure (bar)</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Process time (</w:t>
            </w:r>
            <w:proofErr w:type="spellStart"/>
            <w:r w:rsidRPr="00862F8D">
              <w:rPr>
                <w:rFonts w:ascii="Times New Roman" w:hAnsi="Times New Roman" w:cs="Times New Roman"/>
                <w:color w:val="000000"/>
                <w:sz w:val="24"/>
                <w:szCs w:val="24"/>
                <w:lang w:val="en-US"/>
              </w:rPr>
              <w:t>hr</w:t>
            </w:r>
            <w:proofErr w:type="spellEnd"/>
            <w:r w:rsidRPr="00862F8D">
              <w:rPr>
                <w:rFonts w:ascii="Times New Roman" w:hAnsi="Times New Roman" w:cs="Times New Roman"/>
                <w:color w:val="000000"/>
                <w:sz w:val="24"/>
                <w:szCs w:val="24"/>
                <w:lang w:val="en-US"/>
              </w:rPr>
              <w:t>)</w:t>
            </w:r>
          </w:p>
        </w:tc>
        <w:tc>
          <w:tcPr>
            <w:tcW w:w="3102"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Number of sample</w:t>
            </w:r>
          </w:p>
        </w:tc>
      </w:tr>
      <w:tr w:rsidR="00862F8D" w:rsidRPr="00862F8D" w:rsidTr="00862F8D">
        <w:trPr>
          <w:trHeight w:val="112"/>
        </w:trPr>
        <w:tc>
          <w:tcPr>
            <w:tcW w:w="1979" w:type="dxa"/>
          </w:tcPr>
          <w:p w:rsidR="00862F8D" w:rsidRPr="00862F8D" w:rsidRDefault="00862F8D" w:rsidP="00862F8D">
            <w:pPr>
              <w:autoSpaceDE w:val="0"/>
              <w:autoSpaceDN w:val="0"/>
              <w:adjustRightInd w:val="0"/>
              <w:spacing w:after="0" w:line="240" w:lineRule="auto"/>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 xml:space="preserve">Run 1 </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100 bar</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6</w:t>
            </w:r>
          </w:p>
        </w:tc>
        <w:tc>
          <w:tcPr>
            <w:tcW w:w="3102"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5</w:t>
            </w:r>
          </w:p>
        </w:tc>
      </w:tr>
      <w:tr w:rsidR="00862F8D" w:rsidRPr="00862F8D" w:rsidTr="00862F8D">
        <w:trPr>
          <w:trHeight w:val="112"/>
        </w:trPr>
        <w:tc>
          <w:tcPr>
            <w:tcW w:w="1979" w:type="dxa"/>
          </w:tcPr>
          <w:p w:rsidR="00862F8D" w:rsidRPr="00862F8D" w:rsidRDefault="00862F8D" w:rsidP="00862F8D">
            <w:pPr>
              <w:autoSpaceDE w:val="0"/>
              <w:autoSpaceDN w:val="0"/>
              <w:adjustRightInd w:val="0"/>
              <w:spacing w:after="0" w:line="240" w:lineRule="auto"/>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 xml:space="preserve">Run 2 </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150 bar</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6</w:t>
            </w:r>
          </w:p>
        </w:tc>
        <w:tc>
          <w:tcPr>
            <w:tcW w:w="3102"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5</w:t>
            </w:r>
          </w:p>
        </w:tc>
      </w:tr>
      <w:tr w:rsidR="00862F8D" w:rsidRPr="00862F8D" w:rsidTr="00862F8D">
        <w:trPr>
          <w:trHeight w:val="112"/>
        </w:trPr>
        <w:tc>
          <w:tcPr>
            <w:tcW w:w="1979" w:type="dxa"/>
          </w:tcPr>
          <w:p w:rsidR="00862F8D" w:rsidRPr="00862F8D" w:rsidRDefault="00862F8D" w:rsidP="00862F8D">
            <w:pPr>
              <w:autoSpaceDE w:val="0"/>
              <w:autoSpaceDN w:val="0"/>
              <w:adjustRightInd w:val="0"/>
              <w:spacing w:after="0" w:line="240" w:lineRule="auto"/>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 xml:space="preserve">Run 3 </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200 bar</w:t>
            </w:r>
          </w:p>
        </w:tc>
        <w:tc>
          <w:tcPr>
            <w:tcW w:w="1979"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6</w:t>
            </w:r>
          </w:p>
        </w:tc>
        <w:tc>
          <w:tcPr>
            <w:tcW w:w="3102" w:type="dxa"/>
          </w:tcPr>
          <w:p w:rsidR="00862F8D" w:rsidRPr="00862F8D" w:rsidRDefault="00862F8D" w:rsidP="00862F8D">
            <w:pPr>
              <w:autoSpaceDE w:val="0"/>
              <w:autoSpaceDN w:val="0"/>
              <w:adjustRightInd w:val="0"/>
              <w:spacing w:after="0" w:line="240" w:lineRule="auto"/>
              <w:jc w:val="center"/>
              <w:rPr>
                <w:rFonts w:ascii="Times New Roman" w:hAnsi="Times New Roman" w:cs="Times New Roman"/>
                <w:color w:val="000000"/>
                <w:sz w:val="24"/>
                <w:szCs w:val="24"/>
                <w:lang w:val="en-US"/>
              </w:rPr>
            </w:pPr>
            <w:r w:rsidRPr="00862F8D">
              <w:rPr>
                <w:rFonts w:ascii="Times New Roman" w:hAnsi="Times New Roman" w:cs="Times New Roman"/>
                <w:color w:val="000000"/>
                <w:sz w:val="24"/>
                <w:szCs w:val="24"/>
                <w:lang w:val="en-US"/>
              </w:rPr>
              <w:t>6</w:t>
            </w:r>
          </w:p>
        </w:tc>
      </w:tr>
    </w:tbl>
    <w:p w:rsidR="00862F8D" w:rsidRPr="00862F8D" w:rsidRDefault="00862F8D" w:rsidP="00862F8D">
      <w:pPr>
        <w:pStyle w:val="Default"/>
        <w:spacing w:line="360" w:lineRule="auto"/>
        <w:jc w:val="both"/>
        <w:rPr>
          <w:rFonts w:ascii="Times New Roman" w:hAnsi="Times New Roman" w:cs="Times New Roman"/>
          <w:lang w:val="en-US"/>
        </w:rPr>
      </w:pPr>
      <w:r w:rsidRPr="00862F8D">
        <w:rPr>
          <w:rFonts w:ascii="Times New Roman" w:hAnsi="Times New Roman" w:cs="Times New Roman"/>
          <w:lang w:val="en-US"/>
        </w:rPr>
        <w:t xml:space="preserve">The fractions were continuously collected every 1 h for 6 h at each pressure. For run 1, the pressure inside the raffinate vessel was maintained at 90 </w:t>
      </w:r>
      <w:proofErr w:type="gramStart"/>
      <w:r w:rsidRPr="00862F8D">
        <w:rPr>
          <w:rFonts w:ascii="Times New Roman" w:hAnsi="Times New Roman" w:cs="Times New Roman"/>
          <w:lang w:val="en-US"/>
        </w:rPr>
        <w:t>bar</w:t>
      </w:r>
      <w:proofErr w:type="gramEnd"/>
      <w:r w:rsidRPr="00862F8D">
        <w:rPr>
          <w:rFonts w:ascii="Times New Roman" w:hAnsi="Times New Roman" w:cs="Times New Roman"/>
          <w:lang w:val="en-US"/>
        </w:rPr>
        <w:t xml:space="preserve"> for 30 min to allow sufficient contact of the milkfat with the supercritical CO</w:t>
      </w:r>
      <w:r w:rsidRPr="00862F8D">
        <w:rPr>
          <w:rFonts w:ascii="Times New Roman" w:hAnsi="Times New Roman" w:cs="Times New Roman"/>
          <w:vertAlign w:val="subscript"/>
          <w:lang w:val="en-US"/>
        </w:rPr>
        <w:t>2</w:t>
      </w:r>
      <w:r w:rsidRPr="00862F8D">
        <w:rPr>
          <w:rFonts w:ascii="Times New Roman" w:hAnsi="Times New Roman" w:cs="Times New Roman"/>
          <w:lang w:val="en-US"/>
        </w:rPr>
        <w:t xml:space="preserve">. It was then kept at 100 </w:t>
      </w:r>
      <w:proofErr w:type="gramStart"/>
      <w:r w:rsidRPr="00862F8D">
        <w:rPr>
          <w:rFonts w:ascii="Times New Roman" w:hAnsi="Times New Roman" w:cs="Times New Roman"/>
          <w:lang w:val="en-US"/>
        </w:rPr>
        <w:t>bar</w:t>
      </w:r>
      <w:proofErr w:type="gramEnd"/>
      <w:r w:rsidRPr="00862F8D">
        <w:rPr>
          <w:rFonts w:ascii="Times New Roman" w:hAnsi="Times New Roman" w:cs="Times New Roman"/>
          <w:lang w:val="en-US"/>
        </w:rPr>
        <w:t xml:space="preserve"> for the first fractionation run by using an automated back pressure regulator. Afterwards, the pressure in the first fractionation vessel was adjusted to 50 </w:t>
      </w:r>
      <w:proofErr w:type="gramStart"/>
      <w:r w:rsidRPr="00862F8D">
        <w:rPr>
          <w:rFonts w:ascii="Times New Roman" w:hAnsi="Times New Roman" w:cs="Times New Roman"/>
          <w:lang w:val="en-US"/>
        </w:rPr>
        <w:t>bar</w:t>
      </w:r>
      <w:proofErr w:type="gramEnd"/>
      <w:r w:rsidRPr="00862F8D">
        <w:rPr>
          <w:rFonts w:ascii="Times New Roman" w:hAnsi="Times New Roman" w:cs="Times New Roman"/>
          <w:lang w:val="en-US"/>
        </w:rPr>
        <w:t>, at which point a valve between the first and second vessels was opened along with a vent to keep the pressure and CO</w:t>
      </w:r>
      <w:r w:rsidRPr="00862F8D">
        <w:rPr>
          <w:rFonts w:ascii="Times New Roman" w:hAnsi="Times New Roman" w:cs="Times New Roman"/>
          <w:vertAlign w:val="subscript"/>
          <w:lang w:val="en-US"/>
        </w:rPr>
        <w:t>2</w:t>
      </w:r>
      <w:r w:rsidRPr="00862F8D">
        <w:rPr>
          <w:rFonts w:ascii="Times New Roman" w:hAnsi="Times New Roman" w:cs="Times New Roman"/>
          <w:lang w:val="en-US"/>
        </w:rPr>
        <w:t xml:space="preserve"> flow constant. </w:t>
      </w:r>
    </w:p>
    <w:p w:rsidR="00862F8D" w:rsidRPr="00862F8D" w:rsidRDefault="00862F8D" w:rsidP="00772A54">
      <w:pPr>
        <w:pStyle w:val="Default"/>
        <w:spacing w:line="360" w:lineRule="auto"/>
        <w:jc w:val="both"/>
        <w:rPr>
          <w:rFonts w:ascii="Times New Roman" w:hAnsi="Times New Roman" w:cs="Times New Roman"/>
          <w:lang w:val="en-US"/>
        </w:rPr>
      </w:pPr>
      <w:r w:rsidRPr="00862F8D">
        <w:rPr>
          <w:rFonts w:ascii="Times New Roman" w:hAnsi="Times New Roman" w:cs="Times New Roman"/>
          <w:lang w:val="en-US"/>
        </w:rPr>
        <w:t xml:space="preserve">Fractions were collected hourly from the bottom of the first vessel at the operational pressure. The procedure was repeated with pressures of 150 and 200 </w:t>
      </w:r>
      <w:proofErr w:type="gramStart"/>
      <w:r w:rsidRPr="00862F8D">
        <w:rPr>
          <w:rFonts w:ascii="Times New Roman" w:hAnsi="Times New Roman" w:cs="Times New Roman"/>
          <w:lang w:val="en-US"/>
        </w:rPr>
        <w:t>bar</w:t>
      </w:r>
      <w:proofErr w:type="gramEnd"/>
      <w:r w:rsidRPr="00862F8D">
        <w:rPr>
          <w:rFonts w:ascii="Times New Roman" w:hAnsi="Times New Roman" w:cs="Times New Roman"/>
          <w:lang w:val="en-US"/>
        </w:rPr>
        <w:t>. Each run was completed in 6 h at a 50 mL/min CO</w:t>
      </w:r>
      <w:r w:rsidRPr="00862F8D">
        <w:rPr>
          <w:rFonts w:ascii="Times New Roman" w:hAnsi="Times New Roman" w:cs="Times New Roman"/>
          <w:vertAlign w:val="subscript"/>
          <w:lang w:val="en-US"/>
        </w:rPr>
        <w:t>2</w:t>
      </w:r>
      <w:r w:rsidRPr="00862F8D">
        <w:rPr>
          <w:rFonts w:ascii="Times New Roman" w:hAnsi="Times New Roman" w:cs="Times New Roman"/>
          <w:lang w:val="en-US"/>
        </w:rPr>
        <w:t xml:space="preserve"> flow rate. In all, sixteen fractions plus raffinate were collected at 40 °C from the same starting batch sample. Rate of fractionation, fatty acid composition and melting behavior were determined for fractions.</w:t>
      </w:r>
      <w:bookmarkStart w:id="0" w:name="_GoBack"/>
      <w:bookmarkEnd w:id="0"/>
    </w:p>
    <w:sectPr w:rsidR="00862F8D" w:rsidRPr="00862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8D"/>
    <w:rsid w:val="002A7576"/>
    <w:rsid w:val="00772A54"/>
    <w:rsid w:val="00862F8D"/>
    <w:rsid w:val="00F50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2F8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2F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264</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cbp</dc:creator>
  <cp:lastModifiedBy>cbp</cp:lastModifiedBy>
  <cp:revision>2</cp:revision>
  <dcterms:created xsi:type="dcterms:W3CDTF">2019-04-19T12:25:00Z</dcterms:created>
  <dcterms:modified xsi:type="dcterms:W3CDTF">2019-05-07T08:48:00Z</dcterms:modified>
</cp:coreProperties>
</file>